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0" Target="endnotes.xml" Type="http://schemas.openxmlformats.org/officeDocument/2006/relationships/endnotes" /><Relationship Id="rId11" Target="comments.xml" Type="http://schemas.openxmlformats.org/officeDocument/2006/relationships/comments" /><Relationship Id="rId12" Target="commentsExtended.xml" Type="http://schemas.microsoft.com/office/2011/relationships/commentsExtended" /><Relationship Id="rId13" Target="commentsIds.xml" Type="http://schemas.microsoft.com/office/2016/09/relationships/commentsIds" /><Relationship Id="rId14" Target="commentsExtensible.xml" Type="http://schemas.microsoft.com/office/2018/08/relationships/commentsExtensible" /><Relationship Id="rId15" Target="header1.xml" Type="http://schemas.openxmlformats.org/officeDocument/2006/relationships/header" /><Relationship Id="rId16" Target="footer1.xml" Type="http://schemas.openxmlformats.org/officeDocument/2006/relationships/footer" /><Relationship Id="rId17" Target="fontTable.xml" Type="http://schemas.openxmlformats.org/officeDocument/2006/relationships/fontTable" /><Relationship Id="rId18" Target="people.xml" Type="http://schemas.microsoft.com/office/2011/relationships/people" /><Relationship Id="rId19" Target="theme/theme1.xml" Type="http://schemas.openxmlformats.org/officeDocument/2006/relationships/theme"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581</Words>
  <Characters>3317</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