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79" w:rsidRPr="00ED65C0" w:rsidRDefault="00ED65C0" w:rsidP="00ED65C0">
      <w:pPr>
        <w:jc w:val="center"/>
        <w:rPr>
          <w:rFonts w:ascii="ＭＳ ゴシック" w:eastAsia="ＭＳ ゴシック" w:hAnsi="ＭＳ ゴシック" w:hint="eastAsia"/>
          <w:sz w:val="28"/>
          <w:szCs w:val="28"/>
        </w:rPr>
      </w:pPr>
      <w:r w:rsidRPr="00ED65C0">
        <w:rPr>
          <w:rFonts w:ascii="ＭＳ ゴシック" w:eastAsia="ＭＳ ゴシック" w:hAnsi="ＭＳ ゴシック" w:hint="eastAsia"/>
          <w:sz w:val="28"/>
          <w:szCs w:val="28"/>
        </w:rPr>
        <w:t>福井市環境物品等購入指針</w:t>
      </w:r>
    </w:p>
    <w:p w:rsidR="00094379" w:rsidRPr="009F5431" w:rsidRDefault="00094379" w:rsidP="00094379">
      <w:pPr>
        <w:pStyle w:val="a3"/>
        <w:spacing w:line="240" w:lineRule="auto"/>
        <w:rPr>
          <w:rFonts w:hint="eastAsia"/>
          <w:spacing w:val="0"/>
          <w:sz w:val="22"/>
          <w:szCs w:val="22"/>
        </w:rPr>
      </w:pPr>
    </w:p>
    <w:p w:rsidR="00094379" w:rsidRPr="00892024" w:rsidRDefault="00094379" w:rsidP="00094379">
      <w:pPr>
        <w:pStyle w:val="a3"/>
        <w:spacing w:line="240" w:lineRule="auto"/>
        <w:rPr>
          <w:rFonts w:asciiTheme="majorEastAsia" w:eastAsiaTheme="majorEastAsia" w:hAnsiTheme="majorEastAsia" w:hint="eastAsia"/>
          <w:spacing w:val="0"/>
          <w:sz w:val="22"/>
          <w:szCs w:val="22"/>
        </w:rPr>
      </w:pPr>
      <w:r w:rsidRPr="00892024">
        <w:rPr>
          <w:rFonts w:asciiTheme="majorEastAsia" w:eastAsiaTheme="majorEastAsia" w:hAnsiTheme="majorEastAsia" w:hint="eastAsia"/>
          <w:spacing w:val="0"/>
          <w:sz w:val="22"/>
          <w:szCs w:val="22"/>
        </w:rPr>
        <w:t>１　目的</w:t>
      </w:r>
    </w:p>
    <w:p w:rsidR="00094379" w:rsidRPr="00892024" w:rsidRDefault="00094379" w:rsidP="00415214">
      <w:pPr>
        <w:ind w:firstLineChars="100" w:firstLine="239"/>
        <w:rPr>
          <w:rFonts w:asciiTheme="minorEastAsia" w:eastAsiaTheme="minorEastAsia" w:hAnsiTheme="minorEastAsia"/>
          <w:szCs w:val="21"/>
        </w:rPr>
      </w:pPr>
      <w:r w:rsidRPr="00892024">
        <w:rPr>
          <w:rFonts w:asciiTheme="minorEastAsia" w:eastAsiaTheme="minorEastAsia" w:hAnsiTheme="minorEastAsia" w:hint="eastAsia"/>
          <w:szCs w:val="21"/>
        </w:rPr>
        <w:t>この方針は、環境への負荷の少ない持続的発展が可能な社会の構築を図るため、国等による環境物品等の調達の推進等に関する法律に基づき、環境に配慮した物品の調達（以下「グリーン購入」という。）の推進を図るとともに、調達総量の抑制や省エネなどを実践し行政コストを削減することを目的とする。</w:t>
      </w:r>
    </w:p>
    <w:p w:rsidR="00094379" w:rsidRPr="00892024" w:rsidRDefault="00094379" w:rsidP="00094379">
      <w:pPr>
        <w:pStyle w:val="a3"/>
        <w:spacing w:line="240" w:lineRule="auto"/>
        <w:rPr>
          <w:rFonts w:asciiTheme="minorEastAsia" w:eastAsiaTheme="minorEastAsia" w:hAnsiTheme="minorEastAsia"/>
          <w:spacing w:val="0"/>
          <w:sz w:val="21"/>
          <w:szCs w:val="21"/>
        </w:rPr>
      </w:pPr>
    </w:p>
    <w:p w:rsidR="00094379" w:rsidRPr="00892024" w:rsidRDefault="00094379" w:rsidP="00094379">
      <w:pPr>
        <w:pStyle w:val="a3"/>
        <w:spacing w:line="240" w:lineRule="auto"/>
        <w:rPr>
          <w:rFonts w:asciiTheme="minorEastAsia" w:eastAsiaTheme="minorEastAsia" w:hAnsiTheme="minorEastAsia"/>
          <w:spacing w:val="0"/>
          <w:sz w:val="21"/>
          <w:szCs w:val="21"/>
        </w:rPr>
      </w:pPr>
      <w:r w:rsidRPr="00892024">
        <w:rPr>
          <w:rFonts w:asciiTheme="minorEastAsia" w:eastAsiaTheme="minorEastAsia" w:hAnsiTheme="minorEastAsia" w:hint="eastAsia"/>
          <w:spacing w:val="0"/>
          <w:sz w:val="21"/>
          <w:szCs w:val="21"/>
        </w:rPr>
        <w:t>２　適用範囲</w:t>
      </w:r>
    </w:p>
    <w:p w:rsidR="00094379" w:rsidRPr="00892024" w:rsidRDefault="00094379" w:rsidP="00892024">
      <w:pPr>
        <w:pStyle w:val="a3"/>
        <w:spacing w:line="240" w:lineRule="auto"/>
        <w:ind w:firstLineChars="100" w:firstLine="239"/>
        <w:rPr>
          <w:rFonts w:asciiTheme="minorEastAsia" w:eastAsiaTheme="minorEastAsia" w:hAnsiTheme="minorEastAsia" w:hint="eastAsia"/>
          <w:spacing w:val="0"/>
          <w:sz w:val="21"/>
          <w:szCs w:val="21"/>
          <w:u w:val="single"/>
        </w:rPr>
      </w:pPr>
      <w:r w:rsidRPr="00892024">
        <w:rPr>
          <w:rFonts w:asciiTheme="minorEastAsia" w:eastAsiaTheme="minorEastAsia" w:hAnsiTheme="minorEastAsia" w:hint="eastAsia"/>
          <w:spacing w:val="0"/>
          <w:sz w:val="21"/>
          <w:szCs w:val="21"/>
        </w:rPr>
        <w:t>この方針は、原則として、市の全ての事務部局において適用する。</w:t>
      </w:r>
    </w:p>
    <w:p w:rsidR="00094379" w:rsidRPr="00892024" w:rsidRDefault="00094379" w:rsidP="00094379">
      <w:pPr>
        <w:pStyle w:val="a3"/>
        <w:spacing w:line="240" w:lineRule="auto"/>
        <w:rPr>
          <w:rFonts w:asciiTheme="minorEastAsia" w:eastAsiaTheme="minorEastAsia" w:hAnsiTheme="minorEastAsia" w:hint="eastAsia"/>
          <w:spacing w:val="0"/>
          <w:sz w:val="21"/>
          <w:szCs w:val="21"/>
        </w:rPr>
      </w:pPr>
    </w:p>
    <w:p w:rsidR="00094379" w:rsidRPr="00892024" w:rsidRDefault="00094379" w:rsidP="00094379">
      <w:pPr>
        <w:rPr>
          <w:rFonts w:asciiTheme="majorEastAsia" w:eastAsiaTheme="majorEastAsia" w:hAnsiTheme="majorEastAsia"/>
          <w:sz w:val="22"/>
          <w:szCs w:val="22"/>
        </w:rPr>
      </w:pPr>
      <w:r w:rsidRPr="00892024">
        <w:rPr>
          <w:rFonts w:asciiTheme="majorEastAsia" w:eastAsiaTheme="majorEastAsia" w:hAnsiTheme="majorEastAsia" w:hint="eastAsia"/>
          <w:sz w:val="22"/>
          <w:szCs w:val="22"/>
        </w:rPr>
        <w:t>３．調達の基本原則</w:t>
      </w:r>
    </w:p>
    <w:p w:rsidR="00094379" w:rsidRPr="00892024" w:rsidRDefault="00590D4A" w:rsidP="0041521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物品の調達にあたっては、</w:t>
      </w:r>
      <w:r w:rsidR="00094379" w:rsidRPr="00892024">
        <w:rPr>
          <w:rFonts w:asciiTheme="minorEastAsia" w:eastAsiaTheme="minorEastAsia" w:hAnsiTheme="minorEastAsia" w:hint="eastAsia"/>
          <w:szCs w:val="21"/>
        </w:rPr>
        <w:t>従来考慮されてきた価格や品質などに加え、今後は、源採取から廃棄まで全ての物品ライフサイクルにおける多様な環境負荷を考慮し、次の事項に配意して購入する。</w:t>
      </w:r>
    </w:p>
    <w:p w:rsidR="003C325B" w:rsidRPr="00892024" w:rsidRDefault="003C325B" w:rsidP="0089202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ただし、経費が著しく割高となる場合や、使用機器・使用条件等にあった環境物品等の調達が困難な場合は、この限りでない。</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環境や人の健康に被害を与えるような物質の使用及び放出が削減されていること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資源やエネルギーの消費が少ないこと</w:t>
      </w:r>
    </w:p>
    <w:p w:rsidR="00094379" w:rsidRPr="00892024" w:rsidRDefault="00590D4A"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資源を持続可能な方法で採取し、</w:t>
      </w:r>
      <w:r w:rsidR="00094379" w:rsidRPr="00892024">
        <w:rPr>
          <w:rFonts w:asciiTheme="minorEastAsia" w:eastAsiaTheme="minorEastAsia" w:hAnsiTheme="minorEastAsia" w:hint="eastAsia"/>
          <w:szCs w:val="21"/>
        </w:rPr>
        <w:t>有効利用していること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長時間の使用ができること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再使用が可能であること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リサイクルが可能であること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再生された素材や再使用された部品を多く利用していること</w:t>
      </w:r>
    </w:p>
    <w:p w:rsidR="00094379" w:rsidRPr="00892024" w:rsidRDefault="00094379" w:rsidP="00094379">
      <w:pPr>
        <w:numPr>
          <w:ilvl w:val="0"/>
          <w:numId w:val="3"/>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廃棄されるときに処理や処分が容易なこと</w:t>
      </w:r>
    </w:p>
    <w:p w:rsidR="00094379" w:rsidRPr="00892024" w:rsidRDefault="00094379" w:rsidP="00094379">
      <w:pPr>
        <w:numPr>
          <w:ilvl w:val="0"/>
          <w:numId w:val="3"/>
        </w:numPr>
        <w:rPr>
          <w:rFonts w:asciiTheme="minorEastAsia" w:eastAsiaTheme="minorEastAsia" w:hAnsiTheme="minorEastAsia"/>
          <w:szCs w:val="21"/>
        </w:rPr>
      </w:pPr>
      <w:r w:rsidRPr="00892024">
        <w:rPr>
          <w:rFonts w:asciiTheme="minorEastAsia" w:eastAsiaTheme="minorEastAsia" w:hAnsiTheme="minorEastAsia" w:hint="eastAsia"/>
          <w:szCs w:val="21"/>
        </w:rPr>
        <w:t>調達数量は、必要最小限とすること</w:t>
      </w:r>
    </w:p>
    <w:p w:rsidR="00094379" w:rsidRPr="00892024" w:rsidRDefault="00094379" w:rsidP="00094379">
      <w:pPr>
        <w:rPr>
          <w:rFonts w:asciiTheme="minorEastAsia" w:eastAsiaTheme="minorEastAsia" w:hAnsiTheme="minorEastAsia" w:hint="eastAsia"/>
          <w:szCs w:val="21"/>
        </w:rPr>
      </w:pPr>
    </w:p>
    <w:p w:rsidR="005C50D0" w:rsidRPr="00892024" w:rsidRDefault="00094379" w:rsidP="005C50D0">
      <w:pPr>
        <w:rPr>
          <w:rFonts w:asciiTheme="majorEastAsia" w:eastAsiaTheme="majorEastAsia" w:hAnsiTheme="majorEastAsia" w:hint="eastAsia"/>
          <w:sz w:val="22"/>
          <w:szCs w:val="22"/>
        </w:rPr>
      </w:pPr>
      <w:r w:rsidRPr="00892024">
        <w:rPr>
          <w:rFonts w:asciiTheme="majorEastAsia" w:eastAsiaTheme="majorEastAsia" w:hAnsiTheme="majorEastAsia" w:hint="eastAsia"/>
          <w:sz w:val="22"/>
          <w:szCs w:val="22"/>
        </w:rPr>
        <w:t>４．対象物品及び調達手順</w:t>
      </w:r>
    </w:p>
    <w:p w:rsidR="00FA2364" w:rsidRPr="00892024" w:rsidRDefault="00FA2364" w:rsidP="0041521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物品等の調達にあっては、単価契約物品を優先的に選択し、単価契約物品以外の物品を調達するにあっては、国の定める「環境物品等の調達の推進に関する基本方針」の判断基準を満たす物品を選定するものとする。</w:t>
      </w:r>
    </w:p>
    <w:p w:rsidR="00094379" w:rsidRPr="00892024" w:rsidRDefault="00094379" w:rsidP="0041521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また、</w:t>
      </w:r>
      <w:r w:rsidR="003F322A" w:rsidRPr="00892024">
        <w:rPr>
          <w:rFonts w:asciiTheme="minorEastAsia" w:eastAsiaTheme="minorEastAsia" w:hAnsiTheme="minorEastAsia" w:hint="eastAsia"/>
          <w:szCs w:val="21"/>
        </w:rPr>
        <w:t>「環境物品等の調達の推進に関する基本方針」の</w:t>
      </w:r>
      <w:r w:rsidRPr="00892024">
        <w:rPr>
          <w:rFonts w:asciiTheme="minorEastAsia" w:eastAsiaTheme="minorEastAsia" w:hAnsiTheme="minorEastAsia" w:hint="eastAsia"/>
          <w:szCs w:val="21"/>
        </w:rPr>
        <w:t>対象物品以外についても、「３．調達の基本原則」に準じて物品を選定するよう努めるものとする。</w:t>
      </w:r>
    </w:p>
    <w:p w:rsidR="005C50D0" w:rsidRPr="00892024" w:rsidRDefault="005C50D0" w:rsidP="0041521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公用車を購入するにあっては、「公用車の低公害車等導入推進のための方針」によるものとする。</w:t>
      </w:r>
    </w:p>
    <w:p w:rsidR="005C50D0" w:rsidRPr="00892024" w:rsidRDefault="005C50D0" w:rsidP="00415214">
      <w:pPr>
        <w:ind w:firstLineChars="100" w:firstLine="239"/>
        <w:rPr>
          <w:rFonts w:asciiTheme="minorEastAsia" w:eastAsiaTheme="minorEastAsia" w:hAnsiTheme="minorEastAsia" w:hint="eastAsia"/>
          <w:szCs w:val="21"/>
        </w:rPr>
      </w:pPr>
      <w:r w:rsidRPr="00892024">
        <w:rPr>
          <w:rFonts w:asciiTheme="minorEastAsia" w:eastAsiaTheme="minorEastAsia" w:hAnsiTheme="minorEastAsia" w:hint="eastAsia"/>
          <w:szCs w:val="21"/>
        </w:rPr>
        <w:t>公共工事にあっては、「福井市リサイクル製品利用促進運用基準」及び「福井市排出ガス対策型建設機械使用促進運用基準」によるものとする。</w:t>
      </w:r>
    </w:p>
    <w:p w:rsidR="005C50D0" w:rsidRPr="00892024" w:rsidRDefault="005C50D0" w:rsidP="00094379">
      <w:pPr>
        <w:rPr>
          <w:rFonts w:asciiTheme="minorEastAsia" w:eastAsiaTheme="minorEastAsia" w:hAnsiTheme="minorEastAsia" w:hint="eastAsia"/>
          <w:szCs w:val="21"/>
        </w:rPr>
      </w:pPr>
    </w:p>
    <w:p w:rsidR="00094379" w:rsidRPr="00892024" w:rsidRDefault="00094379" w:rsidP="00094379">
      <w:pPr>
        <w:rPr>
          <w:rFonts w:asciiTheme="majorEastAsia" w:eastAsiaTheme="majorEastAsia" w:hAnsiTheme="majorEastAsia"/>
          <w:sz w:val="22"/>
          <w:szCs w:val="22"/>
        </w:rPr>
      </w:pPr>
      <w:r w:rsidRPr="00892024">
        <w:rPr>
          <w:rFonts w:asciiTheme="majorEastAsia" w:eastAsiaTheme="majorEastAsia" w:hAnsiTheme="majorEastAsia" w:hint="eastAsia"/>
          <w:sz w:val="22"/>
          <w:szCs w:val="22"/>
        </w:rPr>
        <w:t>５．調達物品の選定方法</w:t>
      </w:r>
    </w:p>
    <w:p w:rsidR="00094379" w:rsidRPr="00892024" w:rsidRDefault="00094379" w:rsidP="00415214">
      <w:pPr>
        <w:ind w:firstLineChars="100" w:firstLine="239"/>
        <w:rPr>
          <w:rFonts w:asciiTheme="minorEastAsia" w:eastAsiaTheme="minorEastAsia" w:hAnsiTheme="minorEastAsia"/>
          <w:szCs w:val="21"/>
        </w:rPr>
      </w:pPr>
      <w:r w:rsidRPr="00892024">
        <w:rPr>
          <w:rFonts w:asciiTheme="minorEastAsia" w:eastAsiaTheme="minorEastAsia" w:hAnsiTheme="minorEastAsia" w:hint="eastAsia"/>
          <w:szCs w:val="21"/>
        </w:rPr>
        <w:t>グリーン購入をする場合は、環境に配慮された物品に関する情報を商品カタログのほか、インターネットなどを通じて次のデータベースなどを参照し情報を入手するものとする。</w:t>
      </w:r>
    </w:p>
    <w:p w:rsidR="00094379" w:rsidRPr="00892024" w:rsidRDefault="00094379" w:rsidP="00094379">
      <w:pPr>
        <w:numPr>
          <w:ilvl w:val="0"/>
          <w:numId w:val="2"/>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環境省</w:t>
      </w:r>
      <w:r w:rsidRPr="00892024">
        <w:rPr>
          <w:rFonts w:asciiTheme="minorEastAsia" w:eastAsiaTheme="minorEastAsia" w:hAnsiTheme="minorEastAsia"/>
          <w:szCs w:val="21"/>
        </w:rPr>
        <w:t xml:space="preserve"> </w:t>
      </w:r>
      <w:r w:rsidRPr="00892024">
        <w:rPr>
          <w:rFonts w:asciiTheme="minorEastAsia" w:eastAsiaTheme="minorEastAsia" w:hAnsiTheme="minorEastAsia" w:hint="eastAsia"/>
          <w:szCs w:val="21"/>
        </w:rPr>
        <w:t>グリーン購入法特定調達物品情報提供システム</w:t>
      </w:r>
    </w:p>
    <w:p w:rsidR="00394E20" w:rsidRPr="00892024" w:rsidRDefault="00394E20" w:rsidP="00394E20">
      <w:pPr>
        <w:rPr>
          <w:rFonts w:asciiTheme="minorEastAsia" w:eastAsiaTheme="minorEastAsia" w:hAnsiTheme="minorEastAsia" w:hint="eastAsia"/>
          <w:szCs w:val="21"/>
        </w:rPr>
      </w:pPr>
      <w:r w:rsidRPr="00892024">
        <w:rPr>
          <w:rFonts w:asciiTheme="minorEastAsia" w:eastAsiaTheme="minorEastAsia" w:hAnsiTheme="minorEastAsia" w:hint="eastAsia"/>
          <w:szCs w:val="21"/>
        </w:rPr>
        <w:t xml:space="preserve">　</w:t>
      </w:r>
      <w:hyperlink r:id="rId6" w:history="1">
        <w:r w:rsidRPr="00892024">
          <w:rPr>
            <w:rStyle w:val="a5"/>
            <w:rFonts w:asciiTheme="minorEastAsia" w:eastAsiaTheme="minorEastAsia" w:hAnsiTheme="minorEastAsia"/>
            <w:szCs w:val="21"/>
          </w:rPr>
          <w:t>http://www.env.go.jp/policy/hozen/green/g-law/gpl-db/index.html</w:t>
        </w:r>
      </w:hyperlink>
    </w:p>
    <w:p w:rsidR="00094379" w:rsidRPr="00892024" w:rsidRDefault="00094379" w:rsidP="00094379">
      <w:pPr>
        <w:numPr>
          <w:ilvl w:val="0"/>
          <w:numId w:val="2"/>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グリーン購入ネットワーク</w:t>
      </w:r>
      <w:r w:rsidRPr="00892024">
        <w:rPr>
          <w:rFonts w:asciiTheme="minorEastAsia" w:eastAsiaTheme="minorEastAsia" w:hAnsiTheme="minorEastAsia"/>
          <w:szCs w:val="21"/>
        </w:rPr>
        <w:t xml:space="preserve"> </w:t>
      </w:r>
      <w:r w:rsidRPr="00892024">
        <w:rPr>
          <w:rFonts w:asciiTheme="minorEastAsia" w:eastAsiaTheme="minorEastAsia" w:hAnsiTheme="minorEastAsia" w:hint="eastAsia"/>
          <w:szCs w:val="21"/>
        </w:rPr>
        <w:t>エコ商品ねっと</w:t>
      </w:r>
    </w:p>
    <w:p w:rsidR="00892024" w:rsidRDefault="00394E20" w:rsidP="00394E20">
      <w:pPr>
        <w:rPr>
          <w:rFonts w:ascii="ＭＳ 明朝" w:hAnsi="ＭＳ 明朝" w:hint="eastAsia"/>
          <w:szCs w:val="21"/>
        </w:rPr>
      </w:pPr>
      <w:r w:rsidRPr="00892024">
        <w:rPr>
          <w:rFonts w:asciiTheme="minorEastAsia" w:eastAsiaTheme="minorEastAsia" w:hAnsiTheme="minorEastAsia" w:hint="eastAsia"/>
          <w:szCs w:val="21"/>
        </w:rPr>
        <w:t xml:space="preserve">　</w:t>
      </w:r>
      <w:hyperlink r:id="rId7" w:history="1">
        <w:r w:rsidR="00892024" w:rsidRPr="000959E9">
          <w:rPr>
            <w:rStyle w:val="a5"/>
            <w:rFonts w:ascii="ＭＳ 明朝" w:hAnsi="ＭＳ 明朝"/>
            <w:szCs w:val="21"/>
          </w:rPr>
          <w:t>http://www.gpn.jp/econet/</w:t>
        </w:r>
      </w:hyperlink>
    </w:p>
    <w:p w:rsidR="00094379" w:rsidRPr="00892024" w:rsidRDefault="00094379" w:rsidP="00094379">
      <w:pPr>
        <w:numPr>
          <w:ilvl w:val="0"/>
          <w:numId w:val="2"/>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lastRenderedPageBreak/>
        <w:t>日本環境協会</w:t>
      </w:r>
      <w:r w:rsidRPr="00892024">
        <w:rPr>
          <w:rFonts w:asciiTheme="minorEastAsia" w:eastAsiaTheme="minorEastAsia" w:hAnsiTheme="minorEastAsia"/>
          <w:szCs w:val="21"/>
        </w:rPr>
        <w:t xml:space="preserve"> </w:t>
      </w:r>
      <w:r w:rsidRPr="00892024">
        <w:rPr>
          <w:rFonts w:asciiTheme="minorEastAsia" w:eastAsiaTheme="minorEastAsia" w:hAnsiTheme="minorEastAsia" w:hint="eastAsia"/>
          <w:szCs w:val="21"/>
        </w:rPr>
        <w:t>エコマーク製品情報データベース</w:t>
      </w:r>
    </w:p>
    <w:p w:rsidR="008F3871" w:rsidRDefault="00394E20" w:rsidP="00394E20">
      <w:pPr>
        <w:rPr>
          <w:rFonts w:ascii="ＭＳ 明朝" w:hAnsi="ＭＳ 明朝" w:hint="eastAsia"/>
          <w:szCs w:val="21"/>
        </w:rPr>
      </w:pPr>
      <w:r w:rsidRPr="00892024">
        <w:rPr>
          <w:rFonts w:asciiTheme="minorEastAsia" w:eastAsiaTheme="minorEastAsia" w:hAnsiTheme="minorEastAsia" w:hint="eastAsia"/>
          <w:szCs w:val="21"/>
        </w:rPr>
        <w:t xml:space="preserve">　</w:t>
      </w:r>
      <w:hyperlink r:id="rId8" w:history="1">
        <w:r w:rsidR="00892024" w:rsidRPr="000959E9">
          <w:rPr>
            <w:rStyle w:val="a5"/>
            <w:rFonts w:ascii="ＭＳ 明朝" w:hAnsi="ＭＳ 明朝"/>
            <w:szCs w:val="21"/>
          </w:rPr>
          <w:t>http://www.ecomark.jp/</w:t>
        </w:r>
      </w:hyperlink>
    </w:p>
    <w:p w:rsidR="005C50D0" w:rsidRPr="00892024" w:rsidRDefault="00094379" w:rsidP="00DA1E33">
      <w:pPr>
        <w:numPr>
          <w:ilvl w:val="0"/>
          <w:numId w:val="2"/>
        </w:numPr>
        <w:rPr>
          <w:rFonts w:asciiTheme="minorEastAsia" w:eastAsiaTheme="minorEastAsia" w:hAnsiTheme="minorEastAsia" w:hint="eastAsia"/>
          <w:szCs w:val="21"/>
        </w:rPr>
      </w:pPr>
      <w:r w:rsidRPr="00892024">
        <w:rPr>
          <w:rFonts w:asciiTheme="minorEastAsia" w:eastAsiaTheme="minorEastAsia" w:hAnsiTheme="minorEastAsia" w:hint="eastAsia"/>
          <w:szCs w:val="21"/>
        </w:rPr>
        <w:t>環境省</w:t>
      </w:r>
      <w:r w:rsidRPr="00892024">
        <w:rPr>
          <w:rFonts w:asciiTheme="minorEastAsia" w:eastAsiaTheme="minorEastAsia" w:hAnsiTheme="minorEastAsia"/>
          <w:szCs w:val="21"/>
        </w:rPr>
        <w:t xml:space="preserve"> </w:t>
      </w:r>
      <w:r w:rsidRPr="00892024">
        <w:rPr>
          <w:rFonts w:asciiTheme="minorEastAsia" w:eastAsiaTheme="minorEastAsia" w:hAnsiTheme="minorEastAsia" w:hint="eastAsia"/>
          <w:szCs w:val="21"/>
        </w:rPr>
        <w:t>環境ラベル等データベース</w:t>
      </w:r>
    </w:p>
    <w:p w:rsidR="00394E20" w:rsidRDefault="00394E20" w:rsidP="00394E20">
      <w:pPr>
        <w:rPr>
          <w:rFonts w:ascii="ＭＳ 明朝" w:hAnsi="ＭＳ 明朝" w:hint="eastAsia"/>
          <w:szCs w:val="21"/>
        </w:rPr>
      </w:pPr>
      <w:r w:rsidRPr="00892024">
        <w:rPr>
          <w:rFonts w:asciiTheme="minorEastAsia" w:eastAsiaTheme="minorEastAsia" w:hAnsiTheme="minorEastAsia" w:hint="eastAsia"/>
          <w:szCs w:val="21"/>
        </w:rPr>
        <w:t xml:space="preserve">　</w:t>
      </w:r>
      <w:hyperlink r:id="rId9" w:history="1">
        <w:r w:rsidR="00892024" w:rsidRPr="000959E9">
          <w:rPr>
            <w:rStyle w:val="a5"/>
            <w:rFonts w:ascii="ＭＳ 明朝" w:hAnsi="ＭＳ 明朝"/>
            <w:szCs w:val="21"/>
          </w:rPr>
          <w:t>http://www.env.go.jp/policy/hozen/green/ecolabel/</w:t>
        </w:r>
      </w:hyperlink>
    </w:p>
    <w:p w:rsidR="008F3871" w:rsidRPr="00892024" w:rsidRDefault="008F3871" w:rsidP="00394E20">
      <w:pPr>
        <w:rPr>
          <w:rFonts w:asciiTheme="minorEastAsia" w:eastAsiaTheme="minorEastAsia" w:hAnsiTheme="minorEastAsia" w:hint="eastAsia"/>
          <w:szCs w:val="21"/>
        </w:rPr>
      </w:pPr>
      <w:bookmarkStart w:id="0" w:name="_GoBack"/>
      <w:bookmarkEnd w:id="0"/>
    </w:p>
    <w:p w:rsidR="00094379" w:rsidRPr="00892024" w:rsidRDefault="00094379" w:rsidP="00094379">
      <w:pPr>
        <w:rPr>
          <w:rFonts w:asciiTheme="minorEastAsia" w:eastAsiaTheme="minorEastAsia" w:hAnsiTheme="minorEastAsia" w:hint="eastAsia"/>
          <w:szCs w:val="21"/>
        </w:rPr>
      </w:pPr>
    </w:p>
    <w:p w:rsidR="002B6BC2" w:rsidRPr="00892024" w:rsidRDefault="002B6BC2" w:rsidP="002B6BC2">
      <w:pPr>
        <w:pStyle w:val="a3"/>
        <w:spacing w:line="240" w:lineRule="auto"/>
        <w:rPr>
          <w:rFonts w:asciiTheme="minorEastAsia" w:eastAsiaTheme="minorEastAsia" w:hAnsiTheme="minorEastAsia" w:hint="eastAsia"/>
          <w:spacing w:val="0"/>
          <w:sz w:val="21"/>
          <w:szCs w:val="21"/>
        </w:rPr>
      </w:pPr>
      <w:r w:rsidRPr="00892024">
        <w:rPr>
          <w:rFonts w:asciiTheme="minorEastAsia" w:eastAsiaTheme="minorEastAsia" w:hAnsiTheme="minorEastAsia" w:hint="eastAsia"/>
          <w:spacing w:val="0"/>
          <w:sz w:val="21"/>
          <w:szCs w:val="21"/>
        </w:rPr>
        <w:t xml:space="preserve">　</w:t>
      </w:r>
    </w:p>
    <w:p w:rsidR="002B6BC2" w:rsidRPr="00892024" w:rsidRDefault="002B6BC2" w:rsidP="00892024">
      <w:pPr>
        <w:pStyle w:val="a3"/>
        <w:spacing w:line="240" w:lineRule="auto"/>
        <w:ind w:firstLineChars="100" w:firstLine="239"/>
        <w:rPr>
          <w:rFonts w:asciiTheme="minorEastAsia" w:eastAsiaTheme="minorEastAsia" w:hAnsiTheme="minorEastAsia" w:hint="eastAsia"/>
          <w:spacing w:val="0"/>
          <w:sz w:val="21"/>
          <w:szCs w:val="21"/>
        </w:rPr>
      </w:pPr>
      <w:r w:rsidRPr="00892024">
        <w:rPr>
          <w:rFonts w:asciiTheme="minorEastAsia" w:eastAsiaTheme="minorEastAsia" w:hAnsiTheme="minorEastAsia" w:hint="eastAsia"/>
          <w:spacing w:val="0"/>
          <w:sz w:val="21"/>
          <w:szCs w:val="21"/>
        </w:rPr>
        <w:t xml:space="preserve">　附　則</w:t>
      </w:r>
      <w:r w:rsidR="003D4207" w:rsidRPr="00892024">
        <w:rPr>
          <w:rFonts w:asciiTheme="minorEastAsia" w:eastAsiaTheme="minorEastAsia" w:hAnsiTheme="minorEastAsia" w:hint="eastAsia"/>
          <w:spacing w:val="0"/>
          <w:sz w:val="21"/>
          <w:szCs w:val="21"/>
        </w:rPr>
        <w:t xml:space="preserve">　この方針</w:t>
      </w:r>
      <w:r w:rsidRPr="00892024">
        <w:rPr>
          <w:rFonts w:asciiTheme="minorEastAsia" w:eastAsiaTheme="minorEastAsia" w:hAnsiTheme="minorEastAsia" w:hint="eastAsia"/>
          <w:spacing w:val="0"/>
          <w:sz w:val="21"/>
          <w:szCs w:val="21"/>
        </w:rPr>
        <w:t>は、平成１３年４月６日から施行する。</w:t>
      </w:r>
    </w:p>
    <w:p w:rsidR="002B6BC2" w:rsidRPr="00892024" w:rsidRDefault="002B6BC2" w:rsidP="00892024">
      <w:pPr>
        <w:pStyle w:val="a3"/>
        <w:spacing w:line="240" w:lineRule="auto"/>
        <w:ind w:firstLineChars="100" w:firstLine="239"/>
        <w:rPr>
          <w:rFonts w:asciiTheme="minorEastAsia" w:eastAsiaTheme="minorEastAsia" w:hAnsiTheme="minorEastAsia" w:hint="eastAsia"/>
          <w:spacing w:val="0"/>
          <w:sz w:val="21"/>
          <w:szCs w:val="21"/>
        </w:rPr>
      </w:pPr>
      <w:r w:rsidRPr="00892024">
        <w:rPr>
          <w:rFonts w:asciiTheme="minorEastAsia" w:eastAsiaTheme="minorEastAsia" w:hAnsiTheme="minorEastAsia" w:hint="eastAsia"/>
          <w:spacing w:val="0"/>
          <w:sz w:val="21"/>
          <w:szCs w:val="21"/>
        </w:rPr>
        <w:t xml:space="preserve">　附　則</w:t>
      </w:r>
      <w:r w:rsidR="003D4207" w:rsidRPr="00892024">
        <w:rPr>
          <w:rFonts w:asciiTheme="minorEastAsia" w:eastAsiaTheme="minorEastAsia" w:hAnsiTheme="minorEastAsia" w:hint="eastAsia"/>
          <w:spacing w:val="0"/>
          <w:sz w:val="21"/>
          <w:szCs w:val="21"/>
        </w:rPr>
        <w:t xml:space="preserve">　この方</w:t>
      </w:r>
      <w:r w:rsidRPr="00892024">
        <w:rPr>
          <w:rFonts w:asciiTheme="minorEastAsia" w:eastAsiaTheme="minorEastAsia" w:hAnsiTheme="minorEastAsia" w:hint="eastAsia"/>
          <w:spacing w:val="0"/>
          <w:sz w:val="21"/>
          <w:szCs w:val="21"/>
        </w:rPr>
        <w:t>針は、平成１５年４月１日から施行する。</w:t>
      </w:r>
    </w:p>
    <w:p w:rsidR="002B6BC2" w:rsidRPr="00892024" w:rsidRDefault="002B6BC2" w:rsidP="00892024">
      <w:pPr>
        <w:pStyle w:val="a3"/>
        <w:spacing w:line="240" w:lineRule="auto"/>
        <w:ind w:firstLineChars="200" w:firstLine="477"/>
        <w:rPr>
          <w:rFonts w:asciiTheme="minorEastAsia" w:eastAsiaTheme="minorEastAsia" w:hAnsiTheme="minorEastAsia" w:hint="eastAsia"/>
          <w:spacing w:val="0"/>
          <w:sz w:val="21"/>
          <w:szCs w:val="21"/>
        </w:rPr>
      </w:pPr>
      <w:r w:rsidRPr="00892024">
        <w:rPr>
          <w:rFonts w:asciiTheme="minorEastAsia" w:eastAsiaTheme="minorEastAsia" w:hAnsiTheme="minorEastAsia" w:hint="eastAsia"/>
          <w:spacing w:val="0"/>
          <w:sz w:val="21"/>
          <w:szCs w:val="21"/>
        </w:rPr>
        <w:t>附　則</w:t>
      </w:r>
      <w:r w:rsidR="003D4207" w:rsidRPr="00892024">
        <w:rPr>
          <w:rFonts w:asciiTheme="minorEastAsia" w:eastAsiaTheme="minorEastAsia" w:hAnsiTheme="minorEastAsia" w:hint="eastAsia"/>
          <w:spacing w:val="0"/>
          <w:sz w:val="21"/>
          <w:szCs w:val="21"/>
        </w:rPr>
        <w:t xml:space="preserve">　この方</w:t>
      </w:r>
      <w:r w:rsidRPr="00892024">
        <w:rPr>
          <w:rFonts w:asciiTheme="minorEastAsia" w:eastAsiaTheme="minorEastAsia" w:hAnsiTheme="minorEastAsia" w:hint="eastAsia"/>
          <w:spacing w:val="0"/>
          <w:sz w:val="21"/>
          <w:szCs w:val="21"/>
        </w:rPr>
        <w:t>針は、平成２２年４月１日から施行する。</w:t>
      </w:r>
    </w:p>
    <w:p w:rsidR="00094379" w:rsidRPr="009F5431" w:rsidRDefault="00094379" w:rsidP="003D4207">
      <w:pPr>
        <w:ind w:right="1054"/>
        <w:rPr>
          <w:rFonts w:hint="eastAsia"/>
          <w:sz w:val="22"/>
          <w:szCs w:val="22"/>
        </w:rPr>
      </w:pPr>
    </w:p>
    <w:sectPr w:rsidR="00094379" w:rsidRPr="009F5431" w:rsidSect="00702573">
      <w:pgSz w:w="11906" w:h="16838" w:code="9"/>
      <w:pgMar w:top="1134" w:right="1418" w:bottom="851" w:left="1418" w:header="720" w:footer="720" w:gutter="0"/>
      <w:paperSrc w:first="259" w:other="259"/>
      <w:cols w:space="720"/>
      <w:noEndnote/>
      <w:docGrid w:type="linesAndChars" w:linePitch="309"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35"/>
    <w:multiLevelType w:val="multilevel"/>
    <w:tmpl w:val="EBB894E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50B190E"/>
    <w:multiLevelType w:val="hybridMultilevel"/>
    <w:tmpl w:val="EBB894E4"/>
    <w:lvl w:ilvl="0" w:tplc="EAC88A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E46229"/>
    <w:multiLevelType w:val="hybridMultilevel"/>
    <w:tmpl w:val="4464196E"/>
    <w:lvl w:ilvl="0" w:tplc="425C2A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A9B1629"/>
    <w:multiLevelType w:val="hybridMultilevel"/>
    <w:tmpl w:val="E664485E"/>
    <w:lvl w:ilvl="0" w:tplc="1124DF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09"/>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2A"/>
    <w:rsid w:val="00001712"/>
    <w:rsid w:val="00015427"/>
    <w:rsid w:val="00040CB1"/>
    <w:rsid w:val="0004724A"/>
    <w:rsid w:val="00082168"/>
    <w:rsid w:val="00094379"/>
    <w:rsid w:val="00095333"/>
    <w:rsid w:val="000C3F6F"/>
    <w:rsid w:val="00126364"/>
    <w:rsid w:val="00164562"/>
    <w:rsid w:val="00172D7A"/>
    <w:rsid w:val="001904D0"/>
    <w:rsid w:val="001911FC"/>
    <w:rsid w:val="001A3666"/>
    <w:rsid w:val="001A7A61"/>
    <w:rsid w:val="001B3E20"/>
    <w:rsid w:val="001C48CA"/>
    <w:rsid w:val="001E54E3"/>
    <w:rsid w:val="001F2A7C"/>
    <w:rsid w:val="00200F9F"/>
    <w:rsid w:val="00221C77"/>
    <w:rsid w:val="00233321"/>
    <w:rsid w:val="002451CF"/>
    <w:rsid w:val="00263EE4"/>
    <w:rsid w:val="00271926"/>
    <w:rsid w:val="00276196"/>
    <w:rsid w:val="00295EBB"/>
    <w:rsid w:val="002A1766"/>
    <w:rsid w:val="002A2A00"/>
    <w:rsid w:val="002B6BC2"/>
    <w:rsid w:val="002C6F9E"/>
    <w:rsid w:val="002D4B65"/>
    <w:rsid w:val="002E4FCC"/>
    <w:rsid w:val="002E51B2"/>
    <w:rsid w:val="002E6386"/>
    <w:rsid w:val="002F2605"/>
    <w:rsid w:val="0033417C"/>
    <w:rsid w:val="00335477"/>
    <w:rsid w:val="00366102"/>
    <w:rsid w:val="00370A6B"/>
    <w:rsid w:val="00380312"/>
    <w:rsid w:val="00384318"/>
    <w:rsid w:val="00394E20"/>
    <w:rsid w:val="003C325B"/>
    <w:rsid w:val="003D4207"/>
    <w:rsid w:val="003F322A"/>
    <w:rsid w:val="003F5222"/>
    <w:rsid w:val="00412AD8"/>
    <w:rsid w:val="00414364"/>
    <w:rsid w:val="00415214"/>
    <w:rsid w:val="00421C89"/>
    <w:rsid w:val="00462D37"/>
    <w:rsid w:val="004F214D"/>
    <w:rsid w:val="004F544D"/>
    <w:rsid w:val="005076E7"/>
    <w:rsid w:val="005127A8"/>
    <w:rsid w:val="005244D8"/>
    <w:rsid w:val="0055397A"/>
    <w:rsid w:val="0055656A"/>
    <w:rsid w:val="00574D99"/>
    <w:rsid w:val="005754F7"/>
    <w:rsid w:val="00590D4A"/>
    <w:rsid w:val="0059739F"/>
    <w:rsid w:val="005A4E67"/>
    <w:rsid w:val="005C44C8"/>
    <w:rsid w:val="005C50D0"/>
    <w:rsid w:val="005E4094"/>
    <w:rsid w:val="005E5049"/>
    <w:rsid w:val="00601911"/>
    <w:rsid w:val="00602732"/>
    <w:rsid w:val="0060427F"/>
    <w:rsid w:val="006144DE"/>
    <w:rsid w:val="0063679B"/>
    <w:rsid w:val="006461DE"/>
    <w:rsid w:val="0068035A"/>
    <w:rsid w:val="006901B5"/>
    <w:rsid w:val="006A2257"/>
    <w:rsid w:val="006F36F0"/>
    <w:rsid w:val="00700EA8"/>
    <w:rsid w:val="00702573"/>
    <w:rsid w:val="007030C4"/>
    <w:rsid w:val="0070797D"/>
    <w:rsid w:val="00723FC1"/>
    <w:rsid w:val="007271F3"/>
    <w:rsid w:val="007406BF"/>
    <w:rsid w:val="00747B87"/>
    <w:rsid w:val="00757935"/>
    <w:rsid w:val="007632B0"/>
    <w:rsid w:val="007638DF"/>
    <w:rsid w:val="007E0888"/>
    <w:rsid w:val="00813671"/>
    <w:rsid w:val="008208B7"/>
    <w:rsid w:val="00822FB5"/>
    <w:rsid w:val="008457B9"/>
    <w:rsid w:val="00853556"/>
    <w:rsid w:val="0085590E"/>
    <w:rsid w:val="008655C6"/>
    <w:rsid w:val="00887C7C"/>
    <w:rsid w:val="00892024"/>
    <w:rsid w:val="00895FE7"/>
    <w:rsid w:val="008A4CFA"/>
    <w:rsid w:val="008B1586"/>
    <w:rsid w:val="008C0312"/>
    <w:rsid w:val="008D2FBA"/>
    <w:rsid w:val="008F0A34"/>
    <w:rsid w:val="008F3871"/>
    <w:rsid w:val="008F4184"/>
    <w:rsid w:val="0090322A"/>
    <w:rsid w:val="009249D1"/>
    <w:rsid w:val="00944A53"/>
    <w:rsid w:val="00946653"/>
    <w:rsid w:val="00946C3A"/>
    <w:rsid w:val="0096238F"/>
    <w:rsid w:val="00964F26"/>
    <w:rsid w:val="009B4458"/>
    <w:rsid w:val="009B65A2"/>
    <w:rsid w:val="009E701F"/>
    <w:rsid w:val="009E7508"/>
    <w:rsid w:val="009F5431"/>
    <w:rsid w:val="00A0750A"/>
    <w:rsid w:val="00A14B51"/>
    <w:rsid w:val="00A41BFC"/>
    <w:rsid w:val="00A60152"/>
    <w:rsid w:val="00A845A3"/>
    <w:rsid w:val="00AA1664"/>
    <w:rsid w:val="00AA2D57"/>
    <w:rsid w:val="00AC46E0"/>
    <w:rsid w:val="00AF4D4C"/>
    <w:rsid w:val="00AF5438"/>
    <w:rsid w:val="00B0555A"/>
    <w:rsid w:val="00B20947"/>
    <w:rsid w:val="00B214F2"/>
    <w:rsid w:val="00B261C9"/>
    <w:rsid w:val="00B676FE"/>
    <w:rsid w:val="00B81668"/>
    <w:rsid w:val="00B94484"/>
    <w:rsid w:val="00BD2D40"/>
    <w:rsid w:val="00C02004"/>
    <w:rsid w:val="00C40797"/>
    <w:rsid w:val="00C40B66"/>
    <w:rsid w:val="00C40D23"/>
    <w:rsid w:val="00C4425A"/>
    <w:rsid w:val="00CA6BDA"/>
    <w:rsid w:val="00D03EF2"/>
    <w:rsid w:val="00D155A2"/>
    <w:rsid w:val="00D23975"/>
    <w:rsid w:val="00D3378F"/>
    <w:rsid w:val="00D43DC2"/>
    <w:rsid w:val="00D76CC0"/>
    <w:rsid w:val="00D86D52"/>
    <w:rsid w:val="00D92E16"/>
    <w:rsid w:val="00DA1E33"/>
    <w:rsid w:val="00DB4737"/>
    <w:rsid w:val="00DD2369"/>
    <w:rsid w:val="00DE0F13"/>
    <w:rsid w:val="00DF5A0A"/>
    <w:rsid w:val="00DF7BC9"/>
    <w:rsid w:val="00E747BA"/>
    <w:rsid w:val="00EC3878"/>
    <w:rsid w:val="00ED65C0"/>
    <w:rsid w:val="00EF0E73"/>
    <w:rsid w:val="00EF6FCA"/>
    <w:rsid w:val="00F001FE"/>
    <w:rsid w:val="00F61937"/>
    <w:rsid w:val="00F627EB"/>
    <w:rsid w:val="00F74EE9"/>
    <w:rsid w:val="00F85013"/>
    <w:rsid w:val="00FA2364"/>
    <w:rsid w:val="00FB5BB9"/>
    <w:rsid w:val="00FF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5C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spacing w:val="34"/>
      <w:sz w:val="24"/>
      <w:szCs w:val="24"/>
    </w:rPr>
  </w:style>
  <w:style w:type="table" w:styleId="a4">
    <w:name w:val="Table Grid"/>
    <w:basedOn w:val="a1"/>
    <w:rsid w:val="006144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94E20"/>
    <w:rPr>
      <w:color w:val="0000FF"/>
      <w:u w:val="single"/>
    </w:rPr>
  </w:style>
  <w:style w:type="character" w:styleId="a6">
    <w:name w:val="FollowedHyperlink"/>
    <w:basedOn w:val="a0"/>
    <w:rsid w:val="00D76C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5C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spacing w:val="34"/>
      <w:sz w:val="24"/>
      <w:szCs w:val="24"/>
    </w:rPr>
  </w:style>
  <w:style w:type="table" w:styleId="a4">
    <w:name w:val="Table Grid"/>
    <w:basedOn w:val="a1"/>
    <w:rsid w:val="006144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94E20"/>
    <w:rPr>
      <w:color w:val="0000FF"/>
      <w:u w:val="single"/>
    </w:rPr>
  </w:style>
  <w:style w:type="character" w:styleId="a6">
    <w:name w:val="FollowedHyperlink"/>
    <w:basedOn w:val="a0"/>
    <w:rsid w:val="00D76C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1019">
      <w:bodyDiv w:val="1"/>
      <w:marLeft w:val="0"/>
      <w:marRight w:val="0"/>
      <w:marTop w:val="0"/>
      <w:marBottom w:val="0"/>
      <w:divBdr>
        <w:top w:val="none" w:sz="0" w:space="0" w:color="auto"/>
        <w:left w:val="none" w:sz="0" w:space="0" w:color="auto"/>
        <w:bottom w:val="none" w:sz="0" w:space="0" w:color="auto"/>
        <w:right w:val="none" w:sz="0" w:space="0" w:color="auto"/>
      </w:divBdr>
    </w:div>
    <w:div w:id="11242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omark.jp/" TargetMode="External"/><Relationship Id="rId3" Type="http://schemas.microsoft.com/office/2007/relationships/stylesWithEffects" Target="stylesWithEffects.xml"/><Relationship Id="rId7" Type="http://schemas.openxmlformats.org/officeDocument/2006/relationships/hyperlink" Target="http://www.gpn.jp/ec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go.jp/policy/hozen/green/g-law/gpl-db/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jp/policy/hozen/green/ecolabe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グリーン購入指針</vt:lpstr>
      <vt:lpstr>グリーン購入指針</vt:lpstr>
    </vt:vector>
  </TitlesOfParts>
  <Company/>
  <LinksUpToDate>false</LinksUpToDate>
  <CharactersWithSpaces>1496</CharactersWithSpaces>
  <SharedDoc>false</SharedDoc>
  <HLinks>
    <vt:vector size="24" baseType="variant">
      <vt:variant>
        <vt:i4>3997733</vt:i4>
      </vt:variant>
      <vt:variant>
        <vt:i4>9</vt:i4>
      </vt:variant>
      <vt:variant>
        <vt:i4>0</vt:i4>
      </vt:variant>
      <vt:variant>
        <vt:i4>5</vt:i4>
      </vt:variant>
      <vt:variant>
        <vt:lpwstr>http://www.env.go.jp/policy/hozen/green/ecolabel/index.html</vt:lpwstr>
      </vt:variant>
      <vt:variant>
        <vt:lpwstr/>
      </vt:variant>
      <vt:variant>
        <vt:i4>7209074</vt:i4>
      </vt:variant>
      <vt:variant>
        <vt:i4>6</vt:i4>
      </vt:variant>
      <vt:variant>
        <vt:i4>0</vt:i4>
      </vt:variant>
      <vt:variant>
        <vt:i4>5</vt:i4>
      </vt:variant>
      <vt:variant>
        <vt:lpwstr>http://www.ecomark.jp/</vt:lpwstr>
      </vt:variant>
      <vt:variant>
        <vt:lpwstr/>
      </vt:variant>
      <vt:variant>
        <vt:i4>3276837</vt:i4>
      </vt:variant>
      <vt:variant>
        <vt:i4>3</vt:i4>
      </vt:variant>
      <vt:variant>
        <vt:i4>0</vt:i4>
      </vt:variant>
      <vt:variant>
        <vt:i4>5</vt:i4>
      </vt:variant>
      <vt:variant>
        <vt:lpwstr>http://www.gpn-eco.net/</vt:lpwstr>
      </vt:variant>
      <vt:variant>
        <vt:lpwstr/>
      </vt:variant>
      <vt:variant>
        <vt:i4>6291512</vt:i4>
      </vt:variant>
      <vt:variant>
        <vt:i4>0</vt:i4>
      </vt:variant>
      <vt:variant>
        <vt:i4>0</vt:i4>
      </vt:variant>
      <vt:variant>
        <vt:i4>5</vt:i4>
      </vt:variant>
      <vt:variant>
        <vt:lpwstr>http://www.env.go.jp/policy/hozen/green/g-law/gpl-db/index.html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グリーン購入指針</dc:title>
  <dc:creator>福井市役所</dc:creator>
  <cp:lastModifiedBy>0000000</cp:lastModifiedBy>
  <cp:revision>2</cp:revision>
  <cp:lastPrinted>2010-03-03T05:36:00Z</cp:lastPrinted>
  <dcterms:created xsi:type="dcterms:W3CDTF">2014-02-04T00:00:00Z</dcterms:created>
  <dcterms:modified xsi:type="dcterms:W3CDTF">2014-02-04T00:00:00Z</dcterms:modified>
</cp:coreProperties>
</file>